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 w14:paraId="4FF08784" w14:textId="7777777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F123" w14:textId="77777777" w:rsidR="004959A7" w:rsidRDefault="005D3F8A">
            <w:pPr>
              <w:spacing w:after="120" w:line="240" w:lineRule="atLeast"/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  <w:r w:rsidR="004959A7">
              <w:t xml:space="preserve"> </w:t>
            </w:r>
          </w:p>
          <w:p w14:paraId="720DA721" w14:textId="56A70D60" w:rsidR="00F66EE7" w:rsidRPr="005D3F8A" w:rsidRDefault="00C60493" w:rsidP="00C60493">
            <w:pPr>
              <w:spacing w:after="120"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Limnoecology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7E8C" w14:textId="77777777"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 w14:paraId="431DB8BF" w14:textId="7777777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B7CE" w14:textId="3AC07738"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E252A3">
              <w:rPr>
                <w:b/>
                <w:bCs/>
                <w:sz w:val="26"/>
                <w:szCs w:val="26"/>
                <w:lang w:val="en-US"/>
              </w:rPr>
              <w:t xml:space="preserve"> Dr. Géza Selmeczy </w:t>
            </w:r>
          </w:p>
          <w:p w14:paraId="60174668" w14:textId="77777777"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E52F" w14:textId="77777777"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14:paraId="09094160" w14:textId="6EEE065A" w:rsidR="00F66EE7" w:rsidRPr="005D3F8A" w:rsidRDefault="00E252A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 w14:paraId="39214C54" w14:textId="77777777" w:rsidTr="006D6179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4C0E" w14:textId="77777777"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14:paraId="0B8398AB" w14:textId="6E365273" w:rsidR="00F66EE7" w:rsidRPr="00FD5C7C" w:rsidRDefault="00E45E33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E45E33">
              <w:rPr>
                <w:sz w:val="26"/>
                <w:szCs w:val="26"/>
                <w:lang w:val="en-US"/>
              </w:rPr>
              <w:t>block course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9AF5" w14:textId="77777777"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14:paraId="443983BE" w14:textId="0DBE3C77" w:rsidR="00F66EE7" w:rsidRPr="00FD5C7C" w:rsidRDefault="00E252A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written exam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E896" w14:textId="77777777"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14:paraId="5F0AB727" w14:textId="56224F3C" w:rsidR="00F66EE7" w:rsidRPr="006D6179" w:rsidRDefault="00E252A3" w:rsidP="00D872CE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</w:tr>
      <w:tr w:rsidR="00F66EE7" w:rsidRPr="005D3F8A" w14:paraId="723DA165" w14:textId="77777777" w:rsidTr="00405F8F">
        <w:trPr>
          <w:trHeight w:hRule="exact" w:val="241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0157" w14:textId="77777777" w:rsidR="00F66EE7" w:rsidRPr="004959A7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4959A7">
              <w:t xml:space="preserve"> </w:t>
            </w:r>
          </w:p>
          <w:p w14:paraId="5C9243BD" w14:textId="352ADD44" w:rsidR="00F66EE7" w:rsidRPr="005D3F8A" w:rsidRDefault="00405F8F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405F8F">
              <w:rPr>
                <w:sz w:val="26"/>
                <w:szCs w:val="26"/>
                <w:lang w:val="en-US"/>
              </w:rPr>
              <w:t>The aim of the course is to introduce students to</w:t>
            </w:r>
            <w:r>
              <w:rPr>
                <w:sz w:val="26"/>
                <w:szCs w:val="26"/>
                <w:lang w:val="en-US"/>
              </w:rPr>
              <w:t xml:space="preserve"> limnoecology. </w:t>
            </w:r>
            <w:r w:rsidRPr="00405F8F">
              <w:rPr>
                <w:sz w:val="26"/>
                <w:szCs w:val="26"/>
                <w:lang w:val="en-US"/>
              </w:rPr>
              <w:t xml:space="preserve">The main goal of the course is for the students to get a comprehensive, complex picture of the functioning of aquatic ecosystems, to </w:t>
            </w:r>
            <w:r>
              <w:rPr>
                <w:sz w:val="26"/>
                <w:szCs w:val="26"/>
                <w:lang w:val="en-US"/>
              </w:rPr>
              <w:t>have an overview of</w:t>
            </w:r>
            <w:r w:rsidRPr="00405F8F">
              <w:rPr>
                <w:sz w:val="26"/>
                <w:szCs w:val="26"/>
                <w:lang w:val="en-US"/>
              </w:rPr>
              <w:t xml:space="preserve"> the basic chemical and biological processes </w:t>
            </w:r>
            <w:r w:rsidR="001F079F">
              <w:rPr>
                <w:sz w:val="26"/>
                <w:szCs w:val="26"/>
                <w:lang w:val="en-US"/>
              </w:rPr>
              <w:t xml:space="preserve">and show </w:t>
            </w:r>
            <w:r w:rsidRPr="00405F8F">
              <w:rPr>
                <w:sz w:val="26"/>
                <w:szCs w:val="26"/>
                <w:lang w:val="en-US"/>
              </w:rPr>
              <w:t xml:space="preserve">the relationship </w:t>
            </w:r>
            <w:r>
              <w:rPr>
                <w:sz w:val="26"/>
                <w:szCs w:val="26"/>
                <w:lang w:val="en-US"/>
              </w:rPr>
              <w:t>among</w:t>
            </w:r>
            <w:r w:rsidRPr="00405F8F">
              <w:rPr>
                <w:sz w:val="26"/>
                <w:szCs w:val="26"/>
                <w:lang w:val="en-US"/>
              </w:rPr>
              <w:t xml:space="preserve"> the most important groups of organisms</w:t>
            </w:r>
            <w:r w:rsidR="001F079F">
              <w:rPr>
                <w:sz w:val="26"/>
                <w:szCs w:val="26"/>
                <w:lang w:val="en-US"/>
              </w:rPr>
              <w:t xml:space="preserve"> in these aquatic ecosystems</w:t>
            </w:r>
            <w:r w:rsidRPr="00405F8F">
              <w:rPr>
                <w:sz w:val="26"/>
                <w:szCs w:val="26"/>
                <w:lang w:val="en-US"/>
              </w:rPr>
              <w:t xml:space="preserve">. We also pay attention to the anthropogenic effects on </w:t>
            </w:r>
            <w:r w:rsidR="001F079F">
              <w:rPr>
                <w:sz w:val="26"/>
                <w:szCs w:val="26"/>
                <w:lang w:val="en-US"/>
              </w:rPr>
              <w:t xml:space="preserve">aquatic </w:t>
            </w:r>
            <w:r w:rsidRPr="00405F8F">
              <w:rPr>
                <w:sz w:val="26"/>
                <w:szCs w:val="26"/>
                <w:lang w:val="en-US"/>
              </w:rPr>
              <w:t>systems and the related nature conservation challenges.</w:t>
            </w:r>
          </w:p>
        </w:tc>
      </w:tr>
      <w:tr w:rsidR="00F66EE7" w:rsidRPr="005D3F8A" w14:paraId="2690ADE0" w14:textId="77777777" w:rsidTr="00F16AFD">
        <w:trPr>
          <w:trHeight w:hRule="exact" w:val="682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92" w14:textId="77777777"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14:paraId="7D560DBE" w14:textId="2D51F0A7" w:rsidR="00905ABE" w:rsidRDefault="00905ABE" w:rsidP="00905ABE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Introduction to Limnology</w:t>
            </w:r>
          </w:p>
          <w:p w14:paraId="1407CD6C" w14:textId="7FD11322" w:rsidR="00905ABE" w:rsidRDefault="00905ABE" w:rsidP="00905ABE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Physical and chemical characteristics of freshwaters</w:t>
            </w:r>
          </w:p>
          <w:p w14:paraId="37A2DFB0" w14:textId="77777777" w:rsidR="00CE6C44" w:rsidRDefault="00905ABE" w:rsidP="00905ABE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Special features of aquatic habitats</w:t>
            </w:r>
          </w:p>
          <w:p w14:paraId="11C0973F" w14:textId="77777777" w:rsidR="00905ABE" w:rsidRDefault="00905ABE" w:rsidP="00905ABE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Food web, trophic levels, and interactions</w:t>
            </w:r>
          </w:p>
          <w:p w14:paraId="3BF97A68" w14:textId="77777777" w:rsidR="00905ABE" w:rsidRDefault="007050B9" w:rsidP="00905ABE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Nutrient cycling in freshwater</w:t>
            </w:r>
          </w:p>
          <w:p w14:paraId="5ADC729B" w14:textId="77777777" w:rsidR="007050B9" w:rsidRDefault="007050B9" w:rsidP="00905ABE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Methods, monitoring activity and fieldwork</w:t>
            </w:r>
          </w:p>
          <w:p w14:paraId="6E7556D2" w14:textId="38035322" w:rsidR="007050B9" w:rsidRPr="00905ABE" w:rsidRDefault="007050B9" w:rsidP="00905ABE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Eutrophication, climate change and the related issues</w:t>
            </w:r>
          </w:p>
        </w:tc>
      </w:tr>
      <w:tr w:rsidR="00F66EE7" w:rsidRPr="005D3F8A" w14:paraId="7C2534BD" w14:textId="77777777" w:rsidTr="00405F8F">
        <w:trPr>
          <w:trHeight w:hRule="exact" w:val="202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4052" w14:textId="77777777"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14:paraId="1CE7F8C2" w14:textId="1E3B1C5F" w:rsidR="007050B9" w:rsidRDefault="007050B9" w:rsidP="001D64DD">
            <w:pPr>
              <w:rPr>
                <w:sz w:val="24"/>
                <w:szCs w:val="24"/>
                <w:lang w:val="en-US"/>
              </w:rPr>
            </w:pPr>
            <w:r w:rsidRPr="007050B9">
              <w:rPr>
                <w:sz w:val="24"/>
                <w:szCs w:val="24"/>
                <w:lang w:val="en-US"/>
              </w:rPr>
              <w:t>W. Lampert and U. Sommer</w:t>
            </w:r>
            <w:r>
              <w:rPr>
                <w:sz w:val="24"/>
                <w:szCs w:val="24"/>
                <w:lang w:val="en-US"/>
              </w:rPr>
              <w:t xml:space="preserve"> (1997)</w:t>
            </w:r>
            <w:r w:rsidR="00E45E33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050B9">
              <w:rPr>
                <w:sz w:val="24"/>
                <w:szCs w:val="24"/>
                <w:lang w:val="en-US"/>
              </w:rPr>
              <w:t xml:space="preserve">Limnoecology—The Ecology of Lakes and Streams, Oxford University Press, Oxford, </w:t>
            </w:r>
          </w:p>
          <w:p w14:paraId="7B5EFC59" w14:textId="5CBC3084" w:rsidR="007050B9" w:rsidRDefault="007050B9" w:rsidP="001D64DD">
            <w:pPr>
              <w:rPr>
                <w:sz w:val="24"/>
                <w:szCs w:val="24"/>
                <w:lang w:val="en-US"/>
              </w:rPr>
            </w:pPr>
            <w:proofErr w:type="spellStart"/>
            <w:r w:rsidRPr="007050B9">
              <w:rPr>
                <w:sz w:val="24"/>
                <w:szCs w:val="24"/>
                <w:lang w:val="en-US"/>
              </w:rPr>
              <w:t>Padisák</w:t>
            </w:r>
            <w:proofErr w:type="spellEnd"/>
            <w:r w:rsidRPr="007050B9">
              <w:rPr>
                <w:sz w:val="24"/>
                <w:szCs w:val="24"/>
                <w:lang w:val="en-US"/>
              </w:rPr>
              <w:t xml:space="preserve"> J. (2005)</w:t>
            </w:r>
            <w:r w:rsidR="00E45E33">
              <w:rPr>
                <w:sz w:val="24"/>
                <w:szCs w:val="24"/>
                <w:lang w:val="en-US"/>
              </w:rPr>
              <w:t>:</w:t>
            </w:r>
            <w:r w:rsidRPr="007050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0B9">
              <w:rPr>
                <w:sz w:val="24"/>
                <w:szCs w:val="24"/>
                <w:lang w:val="en-US"/>
              </w:rPr>
              <w:t>Általános</w:t>
            </w:r>
            <w:proofErr w:type="spellEnd"/>
            <w:r w:rsidRPr="007050B9">
              <w:rPr>
                <w:sz w:val="24"/>
                <w:szCs w:val="24"/>
                <w:lang w:val="en-US"/>
              </w:rPr>
              <w:t xml:space="preserve"> limnológia. ELTE Eötvös. </w:t>
            </w:r>
            <w:proofErr w:type="spellStart"/>
            <w:r w:rsidRPr="007050B9">
              <w:rPr>
                <w:sz w:val="24"/>
                <w:szCs w:val="24"/>
                <w:lang w:val="en-US"/>
              </w:rPr>
              <w:t>Kiadó</w:t>
            </w:r>
            <w:proofErr w:type="spellEnd"/>
            <w:r w:rsidRPr="007050B9">
              <w:rPr>
                <w:sz w:val="24"/>
                <w:szCs w:val="24"/>
                <w:lang w:val="en-US"/>
              </w:rPr>
              <w:t>, Budapest. 310 pp.</w:t>
            </w:r>
          </w:p>
          <w:p w14:paraId="088F4A62" w14:textId="0603EF5A" w:rsidR="00E45E33" w:rsidRPr="005D3F8A" w:rsidRDefault="00E45E33" w:rsidP="001D64DD">
            <w:pPr>
              <w:rPr>
                <w:sz w:val="24"/>
                <w:szCs w:val="24"/>
                <w:lang w:val="en-US"/>
              </w:rPr>
            </w:pPr>
            <w:proofErr w:type="spellStart"/>
            <w:r w:rsidRPr="007E21DD">
              <w:rPr>
                <w:sz w:val="24"/>
                <w:szCs w:val="24"/>
              </w:rPr>
              <w:t>Wetzel</w:t>
            </w:r>
            <w:proofErr w:type="spellEnd"/>
            <w:r w:rsidRPr="007E21DD">
              <w:rPr>
                <w:sz w:val="24"/>
                <w:szCs w:val="24"/>
              </w:rPr>
              <w:t xml:space="preserve">, R. G. (2001): </w:t>
            </w:r>
            <w:proofErr w:type="spellStart"/>
            <w:r w:rsidRPr="007E21DD">
              <w:rPr>
                <w:sz w:val="24"/>
                <w:szCs w:val="24"/>
              </w:rPr>
              <w:t>Limnology</w:t>
            </w:r>
            <w:proofErr w:type="spellEnd"/>
            <w:r w:rsidRPr="007E21DD">
              <w:rPr>
                <w:sz w:val="24"/>
                <w:szCs w:val="24"/>
              </w:rPr>
              <w:t xml:space="preserve">. </w:t>
            </w:r>
            <w:proofErr w:type="spellStart"/>
            <w:r w:rsidRPr="007E21DD">
              <w:rPr>
                <w:sz w:val="24"/>
                <w:szCs w:val="24"/>
              </w:rPr>
              <w:t>Academic</w:t>
            </w:r>
            <w:proofErr w:type="spellEnd"/>
            <w:r w:rsidRPr="007E21DD">
              <w:rPr>
                <w:sz w:val="24"/>
                <w:szCs w:val="24"/>
              </w:rPr>
              <w:t xml:space="preserve"> Press, San Diego</w:t>
            </w:r>
          </w:p>
        </w:tc>
      </w:tr>
      <w:tr w:rsidR="00F66EE7" w:rsidRPr="005D3F8A" w14:paraId="590D6169" w14:textId="77777777" w:rsidTr="006D6179">
        <w:trPr>
          <w:trHeight w:hRule="exact" w:val="58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3E22" w14:textId="23DCF4D3"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  <w:r w:rsidR="00E45E33">
              <w:rPr>
                <w:b/>
                <w:bCs/>
                <w:sz w:val="26"/>
                <w:szCs w:val="26"/>
                <w:lang w:val="en-US"/>
              </w:rPr>
              <w:t xml:space="preserve"> gain detailed knowledge about this discipline</w:t>
            </w:r>
          </w:p>
        </w:tc>
      </w:tr>
    </w:tbl>
    <w:p w14:paraId="715EE8C9" w14:textId="77777777" w:rsidR="009F1433" w:rsidRPr="005D3F8A" w:rsidRDefault="009F1433">
      <w:pPr>
        <w:rPr>
          <w:lang w:val="en-US"/>
        </w:rPr>
      </w:pPr>
    </w:p>
    <w:sectPr w:rsidR="009F1433" w:rsidRPr="005D3F8A" w:rsidSect="00245C75">
      <w:pgSz w:w="11896" w:h="16834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092177C"/>
    <w:multiLevelType w:val="hybridMultilevel"/>
    <w:tmpl w:val="45F67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21338">
    <w:abstractNumId w:val="0"/>
  </w:num>
  <w:num w:numId="2" w16cid:durableId="56198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7"/>
    <w:rsid w:val="0006121D"/>
    <w:rsid w:val="001458E0"/>
    <w:rsid w:val="001D64DD"/>
    <w:rsid w:val="001F079F"/>
    <w:rsid w:val="00245C75"/>
    <w:rsid w:val="002C7271"/>
    <w:rsid w:val="003F4629"/>
    <w:rsid w:val="00405F8F"/>
    <w:rsid w:val="004959A7"/>
    <w:rsid w:val="005268A8"/>
    <w:rsid w:val="00534DB3"/>
    <w:rsid w:val="00586567"/>
    <w:rsid w:val="005B7C4A"/>
    <w:rsid w:val="005C2243"/>
    <w:rsid w:val="005D3F8A"/>
    <w:rsid w:val="0069728C"/>
    <w:rsid w:val="006D6179"/>
    <w:rsid w:val="007050B9"/>
    <w:rsid w:val="0073628B"/>
    <w:rsid w:val="007D6DC3"/>
    <w:rsid w:val="008A0FED"/>
    <w:rsid w:val="008C2C3D"/>
    <w:rsid w:val="008C3A1E"/>
    <w:rsid w:val="00905ABE"/>
    <w:rsid w:val="009A3987"/>
    <w:rsid w:val="009A7F60"/>
    <w:rsid w:val="009D1868"/>
    <w:rsid w:val="009F1433"/>
    <w:rsid w:val="00A05070"/>
    <w:rsid w:val="00A5790D"/>
    <w:rsid w:val="00A67240"/>
    <w:rsid w:val="00A8705E"/>
    <w:rsid w:val="00C05307"/>
    <w:rsid w:val="00C60493"/>
    <w:rsid w:val="00CC109A"/>
    <w:rsid w:val="00CE6C44"/>
    <w:rsid w:val="00D775CF"/>
    <w:rsid w:val="00D872CE"/>
    <w:rsid w:val="00DE0AD5"/>
    <w:rsid w:val="00E252A3"/>
    <w:rsid w:val="00E45E33"/>
    <w:rsid w:val="00E53E6D"/>
    <w:rsid w:val="00EA21A3"/>
    <w:rsid w:val="00F16AFD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24567"/>
  <w15:docId w15:val="{4FA615D7-7B50-4605-9DF4-7A85DDC6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05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Dr. Selmeczy Géza Balázs</cp:lastModifiedBy>
  <cp:revision>5</cp:revision>
  <cp:lastPrinted>2006-03-10T09:31:00Z</cp:lastPrinted>
  <dcterms:created xsi:type="dcterms:W3CDTF">2020-06-18T17:45:00Z</dcterms:created>
  <dcterms:modified xsi:type="dcterms:W3CDTF">2024-02-01T08:52:00Z</dcterms:modified>
</cp:coreProperties>
</file>