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974D99" w:rsidRPr="00974D99" w:rsidRDefault="00974D99" w:rsidP="00974D99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74D99">
              <w:rPr>
                <w:sz w:val="26"/>
                <w:szCs w:val="26"/>
              </w:rPr>
              <w:t>Origin</w:t>
            </w:r>
            <w:proofErr w:type="spellEnd"/>
            <w:r w:rsidRPr="00974D99">
              <w:rPr>
                <w:sz w:val="26"/>
                <w:szCs w:val="26"/>
              </w:rPr>
              <w:t xml:space="preserve"> of </w:t>
            </w:r>
            <w:proofErr w:type="spellStart"/>
            <w:r w:rsidRPr="00974D99">
              <w:rPr>
                <w:sz w:val="26"/>
                <w:szCs w:val="26"/>
              </w:rPr>
              <w:t>colo</w:t>
            </w:r>
            <w:r>
              <w:rPr>
                <w:sz w:val="26"/>
                <w:szCs w:val="26"/>
              </w:rPr>
              <w:t>u</w:t>
            </w:r>
            <w:r w:rsidRPr="00974D99">
              <w:rPr>
                <w:sz w:val="26"/>
                <w:szCs w:val="26"/>
              </w:rPr>
              <w:t>rs</w:t>
            </w:r>
            <w:proofErr w:type="spellEnd"/>
          </w:p>
          <w:p w:rsidR="00F66EE7" w:rsidRPr="005D3F8A" w:rsidRDefault="00974D99" w:rsidP="00974D99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 w:rsidRPr="00974D99">
              <w:rPr>
                <w:b/>
                <w:sz w:val="26"/>
                <w:szCs w:val="26"/>
              </w:rPr>
              <w:t>PEDICHEM032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974D99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</w:t>
            </w:r>
            <w:proofErr w:type="spellStart"/>
            <w:r>
              <w:rPr>
                <w:b w:val="0"/>
                <w:lang w:val="en-US"/>
              </w:rPr>
              <w:t>Ottó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Horváth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C6CE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</w:t>
            </w:r>
            <w:r w:rsidR="00974D99">
              <w:rPr>
                <w:sz w:val="26"/>
                <w:szCs w:val="26"/>
                <w:lang w:val="en-US"/>
              </w:rPr>
              <w:t>full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4C6CEB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4C6CEB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oral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264C94">
              <w:rPr>
                <w:b/>
                <w:bCs/>
                <w:sz w:val="26"/>
                <w:szCs w:val="26"/>
                <w:lang w:val="en-US"/>
              </w:rPr>
              <w:t xml:space="preserve"> value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7141E5" w:rsidRDefault="004C6CEB" w:rsidP="00D872CE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7141E5">
              <w:rPr>
                <w:b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4C6CEB">
        <w:trPr>
          <w:trHeight w:hRule="exact" w:val="126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4C6CEB" w:rsidRDefault="004C6CEB" w:rsidP="005D3F8A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C6CEB">
              <w:rPr>
                <w:sz w:val="24"/>
                <w:szCs w:val="24"/>
              </w:rPr>
              <w:t>To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lay</w:t>
            </w:r>
            <w:proofErr w:type="spellEnd"/>
            <w:r w:rsidRPr="004C6CEB">
              <w:rPr>
                <w:sz w:val="24"/>
                <w:szCs w:val="24"/>
              </w:rPr>
              <w:t xml:space="preserve"> down </w:t>
            </w:r>
            <w:proofErr w:type="spellStart"/>
            <w:r w:rsidRPr="004C6CEB">
              <w:rPr>
                <w:sz w:val="24"/>
                <w:szCs w:val="24"/>
              </w:rPr>
              <w:t>the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basic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principles</w:t>
            </w:r>
            <w:proofErr w:type="spellEnd"/>
            <w:r w:rsidRPr="004C6CEB">
              <w:rPr>
                <w:sz w:val="24"/>
                <w:szCs w:val="24"/>
              </w:rPr>
              <w:t xml:space="preserve"> of </w:t>
            </w:r>
            <w:proofErr w:type="spellStart"/>
            <w:r w:rsidRPr="004C6CEB">
              <w:rPr>
                <w:sz w:val="24"/>
                <w:szCs w:val="24"/>
              </w:rPr>
              <w:t>interactions</w:t>
            </w:r>
            <w:proofErr w:type="spellEnd"/>
            <w:r w:rsidRPr="004C6CEB">
              <w:rPr>
                <w:sz w:val="24"/>
                <w:szCs w:val="24"/>
              </w:rPr>
              <w:t xml:space="preserve">, </w:t>
            </w:r>
            <w:proofErr w:type="spellStart"/>
            <w:r w:rsidRPr="004C6CEB">
              <w:rPr>
                <w:sz w:val="24"/>
                <w:szCs w:val="24"/>
              </w:rPr>
              <w:t>the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consequences</w:t>
            </w:r>
            <w:proofErr w:type="spellEnd"/>
            <w:r w:rsidRPr="004C6CEB">
              <w:rPr>
                <w:sz w:val="24"/>
                <w:szCs w:val="24"/>
              </w:rPr>
              <w:t xml:space="preserve"> of </w:t>
            </w:r>
            <w:proofErr w:type="spellStart"/>
            <w:r w:rsidRPr="004C6CEB">
              <w:rPr>
                <w:sz w:val="24"/>
                <w:szCs w:val="24"/>
              </w:rPr>
              <w:t>which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we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see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colours</w:t>
            </w:r>
            <w:proofErr w:type="spellEnd"/>
            <w:r w:rsidRPr="004C6CEB">
              <w:rPr>
                <w:sz w:val="24"/>
                <w:szCs w:val="24"/>
              </w:rPr>
              <w:t xml:space="preserve">, i.e., </w:t>
            </w:r>
            <w:proofErr w:type="spellStart"/>
            <w:r w:rsidRPr="004C6CEB">
              <w:rPr>
                <w:sz w:val="24"/>
                <w:szCs w:val="24"/>
              </w:rPr>
              <w:t>light</w:t>
            </w:r>
            <w:proofErr w:type="spellEnd"/>
            <w:r w:rsidRPr="004C6CEB">
              <w:rPr>
                <w:sz w:val="24"/>
                <w:szCs w:val="24"/>
              </w:rPr>
              <w:t xml:space="preserve"> of </w:t>
            </w:r>
            <w:proofErr w:type="spellStart"/>
            <w:r w:rsidRPr="004C6CEB">
              <w:rPr>
                <w:sz w:val="24"/>
                <w:szCs w:val="24"/>
              </w:rPr>
              <w:t>various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wavelengths</w:t>
            </w:r>
            <w:proofErr w:type="spellEnd"/>
            <w:r w:rsidRPr="004C6CEB">
              <w:rPr>
                <w:sz w:val="24"/>
                <w:szCs w:val="24"/>
              </w:rPr>
              <w:t xml:space="preserve"> in </w:t>
            </w:r>
            <w:proofErr w:type="spellStart"/>
            <w:r w:rsidRPr="004C6CEB">
              <w:rPr>
                <w:sz w:val="24"/>
                <w:szCs w:val="24"/>
              </w:rPr>
              <w:t>the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visible</w:t>
            </w:r>
            <w:proofErr w:type="spellEnd"/>
            <w:r w:rsidRPr="004C6CEB">
              <w:rPr>
                <w:sz w:val="24"/>
                <w:szCs w:val="24"/>
              </w:rPr>
              <w:t xml:space="preserve"> range. </w:t>
            </w:r>
            <w:proofErr w:type="spellStart"/>
            <w:r w:rsidRPr="004C6CEB">
              <w:rPr>
                <w:sz w:val="24"/>
                <w:szCs w:val="24"/>
              </w:rPr>
              <w:t>Beside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the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explanation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or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6CEB">
              <w:rPr>
                <w:sz w:val="24"/>
                <w:szCs w:val="24"/>
              </w:rPr>
              <w:t>interpretation</w:t>
            </w:r>
            <w:proofErr w:type="spellEnd"/>
            <w:r w:rsidRPr="004C6CEB">
              <w:rPr>
                <w:sz w:val="24"/>
                <w:szCs w:val="24"/>
              </w:rPr>
              <w:t xml:space="preserve">  </w:t>
            </w:r>
            <w:proofErr w:type="spellStart"/>
            <w:r w:rsidRPr="004C6CEB">
              <w:rPr>
                <w:sz w:val="24"/>
                <w:szCs w:val="24"/>
              </w:rPr>
              <w:t>these</w:t>
            </w:r>
            <w:proofErr w:type="spellEnd"/>
            <w:proofErr w:type="gram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phenomena</w:t>
            </w:r>
            <w:proofErr w:type="spellEnd"/>
            <w:r w:rsidRPr="004C6CEB">
              <w:rPr>
                <w:sz w:val="24"/>
                <w:szCs w:val="24"/>
              </w:rPr>
              <w:t xml:space="preserve">, </w:t>
            </w:r>
            <w:proofErr w:type="spellStart"/>
            <w:r w:rsidRPr="004C6CEB">
              <w:rPr>
                <w:sz w:val="24"/>
                <w:szCs w:val="24"/>
              </w:rPr>
              <w:t>some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examples</w:t>
            </w:r>
            <w:proofErr w:type="spellEnd"/>
            <w:r w:rsidRPr="004C6CEB">
              <w:rPr>
                <w:sz w:val="24"/>
                <w:szCs w:val="24"/>
              </w:rPr>
              <w:t xml:space="preserve"> of </w:t>
            </w:r>
            <w:proofErr w:type="spellStart"/>
            <w:r w:rsidRPr="004C6CEB">
              <w:rPr>
                <w:sz w:val="24"/>
                <w:szCs w:val="24"/>
              </w:rPr>
              <w:t>their</w:t>
            </w:r>
            <w:proofErr w:type="spellEnd"/>
            <w:r w:rsidRPr="004C6CEB">
              <w:rPr>
                <w:sz w:val="24"/>
                <w:szCs w:val="24"/>
              </w:rPr>
              <w:t xml:space="preserve">  </w:t>
            </w:r>
            <w:proofErr w:type="spellStart"/>
            <w:r w:rsidRPr="004C6CEB">
              <w:rPr>
                <w:sz w:val="24"/>
                <w:szCs w:val="24"/>
              </w:rPr>
              <w:t>practical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application</w:t>
            </w:r>
            <w:proofErr w:type="spellEnd"/>
            <w:r w:rsidRPr="004C6CEB">
              <w:rPr>
                <w:sz w:val="24"/>
                <w:szCs w:val="24"/>
              </w:rPr>
              <w:t xml:space="preserve">  </w:t>
            </w:r>
            <w:proofErr w:type="spellStart"/>
            <w:r w:rsidRPr="004C6CEB">
              <w:rPr>
                <w:sz w:val="24"/>
                <w:szCs w:val="24"/>
              </w:rPr>
              <w:t>will</w:t>
            </w:r>
            <w:proofErr w:type="spellEnd"/>
            <w:r w:rsidRPr="004C6CEB">
              <w:rPr>
                <w:sz w:val="24"/>
                <w:szCs w:val="24"/>
              </w:rPr>
              <w:t xml:space="preserve"> </w:t>
            </w:r>
            <w:proofErr w:type="spellStart"/>
            <w:r w:rsidRPr="004C6CEB">
              <w:rPr>
                <w:sz w:val="24"/>
                <w:szCs w:val="24"/>
              </w:rPr>
              <w:t>also</w:t>
            </w:r>
            <w:proofErr w:type="spellEnd"/>
            <w:r w:rsidRPr="004C6CEB">
              <w:rPr>
                <w:sz w:val="24"/>
                <w:szCs w:val="24"/>
              </w:rPr>
              <w:t xml:space="preserve"> be </w:t>
            </w:r>
            <w:proofErr w:type="spellStart"/>
            <w:r w:rsidRPr="004C6CEB">
              <w:rPr>
                <w:sz w:val="24"/>
                <w:szCs w:val="24"/>
              </w:rPr>
              <w:t>presented</w:t>
            </w:r>
            <w:proofErr w:type="spellEnd"/>
            <w:r w:rsidRPr="004C6CEB">
              <w:rPr>
                <w:sz w:val="24"/>
                <w:szCs w:val="24"/>
              </w:rPr>
              <w:t>.</w:t>
            </w:r>
          </w:p>
        </w:tc>
      </w:tr>
      <w:tr w:rsidR="00F66EE7" w:rsidRPr="005D3F8A" w:rsidTr="00170498">
        <w:trPr>
          <w:trHeight w:hRule="exact" w:val="1064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Light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light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waves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black</w:t>
            </w:r>
            <w:proofErr w:type="spellEnd"/>
            <w:r w:rsidRPr="00424710">
              <w:rPr>
                <w:sz w:val="24"/>
                <w:szCs w:val="24"/>
              </w:rPr>
              <w:t xml:space="preserve">-body </w:t>
            </w:r>
            <w:proofErr w:type="spellStart"/>
            <w:r w:rsidRPr="00424710">
              <w:rPr>
                <w:sz w:val="24"/>
                <w:szCs w:val="24"/>
              </w:rPr>
              <w:t>radiation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light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interaction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light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with</w:t>
            </w:r>
            <w:proofErr w:type="spellEnd"/>
            <w:r w:rsidRPr="00424710">
              <w:rPr>
                <w:sz w:val="24"/>
                <w:szCs w:val="24"/>
              </w:rPr>
              <w:t xml:space="preserve"> a </w:t>
            </w:r>
            <w:proofErr w:type="spellStart"/>
            <w:r w:rsidRPr="00424710">
              <w:rPr>
                <w:sz w:val="24"/>
                <w:szCs w:val="24"/>
              </w:rPr>
              <w:t>transparent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material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due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to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refraction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dispersion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refractive</w:t>
            </w:r>
            <w:proofErr w:type="spellEnd"/>
            <w:r w:rsidRPr="00424710">
              <w:rPr>
                <w:sz w:val="24"/>
                <w:szCs w:val="24"/>
              </w:rPr>
              <w:t xml:space="preserve"> index and </w:t>
            </w:r>
            <w:proofErr w:type="spellStart"/>
            <w:r w:rsidRPr="00424710">
              <w:rPr>
                <w:sz w:val="24"/>
                <w:szCs w:val="24"/>
              </w:rPr>
              <w:t>polarisability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rainbow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Crystals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light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polarisation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by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reflection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crystal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symmetry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double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refraction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by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crystals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interference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gramStart"/>
            <w:r w:rsidRPr="00424710">
              <w:rPr>
                <w:sz w:val="24"/>
                <w:szCs w:val="24"/>
              </w:rPr>
              <w:t>non-</w:t>
            </w:r>
            <w:proofErr w:type="spellStart"/>
            <w:r w:rsidRPr="00424710">
              <w:rPr>
                <w:sz w:val="24"/>
                <w:szCs w:val="24"/>
              </w:rPr>
              <w:t>linear</w:t>
            </w:r>
            <w:proofErr w:type="spellEnd"/>
            <w:proofErr w:type="gram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effects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optical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parametric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amplifiers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oscillators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liquid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crystals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optical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activity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r w:rsidRPr="00424710">
              <w:rPr>
                <w:sz w:val="24"/>
                <w:szCs w:val="24"/>
              </w:rPr>
              <w:t xml:space="preserve">The </w:t>
            </w:r>
            <w:proofErr w:type="spellStart"/>
            <w:r w:rsidRPr="00424710">
              <w:rPr>
                <w:sz w:val="24"/>
                <w:szCs w:val="24"/>
              </w:rPr>
              <w:t>production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by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reflection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interference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at</w:t>
            </w:r>
            <w:proofErr w:type="spellEnd"/>
            <w:r w:rsidRPr="00424710">
              <w:rPr>
                <w:sz w:val="24"/>
                <w:szCs w:val="24"/>
              </w:rPr>
              <w:t xml:space="preserve"> a </w:t>
            </w:r>
            <w:proofErr w:type="spellStart"/>
            <w:r w:rsidRPr="00424710">
              <w:rPr>
                <w:sz w:val="24"/>
                <w:szCs w:val="24"/>
              </w:rPr>
              <w:t>single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thin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gramStart"/>
            <w:r w:rsidRPr="00424710">
              <w:rPr>
                <w:sz w:val="24"/>
                <w:szCs w:val="24"/>
              </w:rPr>
              <w:t>film in</w:t>
            </w:r>
            <w:proofErr w:type="gramEnd"/>
            <w:r w:rsidRPr="00424710">
              <w:rPr>
                <w:sz w:val="24"/>
                <w:szCs w:val="24"/>
              </w:rPr>
              <w:t xml:space="preserve"> air; </w:t>
            </w:r>
            <w:proofErr w:type="spellStart"/>
            <w:r w:rsidRPr="00424710">
              <w:rPr>
                <w:sz w:val="24"/>
                <w:szCs w:val="24"/>
              </w:rPr>
              <w:t>high-reflection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coatings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antireflection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layers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dielectric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mirrors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blue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butterflies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due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to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scattering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Tyndall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blue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Rayleigh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scattering</w:t>
            </w:r>
            <w:proofErr w:type="spellEnd"/>
            <w:r w:rsidRPr="00424710">
              <w:rPr>
                <w:sz w:val="24"/>
                <w:szCs w:val="24"/>
              </w:rPr>
              <w:t xml:space="preserve">; blues </w:t>
            </w:r>
            <w:proofErr w:type="spellStart"/>
            <w:r w:rsidRPr="00424710">
              <w:rPr>
                <w:sz w:val="24"/>
                <w:szCs w:val="24"/>
              </w:rPr>
              <w:t>skies</w:t>
            </w:r>
            <w:proofErr w:type="spellEnd"/>
            <w:r w:rsidRPr="00424710">
              <w:rPr>
                <w:sz w:val="24"/>
                <w:szCs w:val="24"/>
              </w:rPr>
              <w:t xml:space="preserve">, </w:t>
            </w:r>
            <w:proofErr w:type="spellStart"/>
            <w:r w:rsidRPr="00424710">
              <w:rPr>
                <w:sz w:val="24"/>
                <w:szCs w:val="24"/>
              </w:rPr>
              <w:t>red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sunsets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Mie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scattering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gold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sols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ruby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glass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polychromic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glass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due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to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diffraction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production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by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diffraction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gratings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diffraction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by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crystals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crystal</w:t>
            </w:r>
            <w:proofErr w:type="spellEnd"/>
            <w:r w:rsidRPr="00424710">
              <w:rPr>
                <w:sz w:val="24"/>
                <w:szCs w:val="24"/>
              </w:rPr>
              <w:t xml:space="preserve">-like </w:t>
            </w:r>
            <w:proofErr w:type="spellStart"/>
            <w:r w:rsidRPr="00424710">
              <w:rPr>
                <w:sz w:val="24"/>
                <w:szCs w:val="24"/>
              </w:rPr>
              <w:t>structures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from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liquid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crystals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from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atoms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ions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spectra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atoms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ions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Frunhofer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lines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stellar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spectra</w:t>
            </w:r>
            <w:proofErr w:type="spellEnd"/>
            <w:r w:rsidRPr="00424710">
              <w:rPr>
                <w:sz w:val="24"/>
                <w:szCs w:val="24"/>
              </w:rPr>
              <w:t xml:space="preserve">; neon </w:t>
            </w:r>
            <w:proofErr w:type="spellStart"/>
            <w:r w:rsidRPr="00424710">
              <w:rPr>
                <w:sz w:val="24"/>
                <w:szCs w:val="24"/>
              </w:rPr>
              <w:t>signs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street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lights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transition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metals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crystal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field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crystal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field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colours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minerals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gemstones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as</w:t>
            </w:r>
            <w:proofErr w:type="spellEnd"/>
            <w:r w:rsidRPr="00424710">
              <w:rPr>
                <w:sz w:val="24"/>
                <w:szCs w:val="24"/>
              </w:rPr>
              <w:t xml:space="preserve"> a </w:t>
            </w:r>
            <w:proofErr w:type="spellStart"/>
            <w:r w:rsidRPr="00424710">
              <w:rPr>
                <w:sz w:val="24"/>
                <w:szCs w:val="24"/>
              </w:rPr>
              <w:t>structural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probe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colours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from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lanthanide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rare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earth</w:t>
            </w:r>
            <w:proofErr w:type="spellEnd"/>
            <w:r w:rsidRPr="00424710">
              <w:rPr>
                <w:sz w:val="24"/>
                <w:szCs w:val="24"/>
              </w:rPr>
              <w:t xml:space="preserve">) </w:t>
            </w:r>
            <w:proofErr w:type="spellStart"/>
            <w:r w:rsidRPr="00424710">
              <w:rPr>
                <w:sz w:val="24"/>
                <w:szCs w:val="24"/>
              </w:rPr>
              <w:t>ions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from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molecules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spectra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energy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levels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molecules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molecular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orbitals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chromophores</w:t>
            </w:r>
            <w:proofErr w:type="spellEnd"/>
            <w:r w:rsidRPr="00424710">
              <w:rPr>
                <w:sz w:val="24"/>
                <w:szCs w:val="24"/>
              </w:rPr>
              <w:t xml:space="preserve">, </w:t>
            </w:r>
            <w:proofErr w:type="spellStart"/>
            <w:r w:rsidRPr="00424710">
              <w:rPr>
                <w:sz w:val="24"/>
                <w:szCs w:val="24"/>
              </w:rPr>
              <w:t>conjugated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molecules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naturally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occuring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colorants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red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wine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indicators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dyes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photography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vision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from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charge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transfer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luminescence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electrochromic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films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concentration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dependence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intervalence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photoluminescence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fluorescent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lamps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in </w:t>
            </w:r>
            <w:proofErr w:type="spellStart"/>
            <w:r w:rsidRPr="00424710">
              <w:rPr>
                <w:sz w:val="24"/>
                <w:szCs w:val="24"/>
              </w:rPr>
              <w:t>metals</w:t>
            </w:r>
            <w:proofErr w:type="spellEnd"/>
            <w:r w:rsidRPr="00424710">
              <w:rPr>
                <w:sz w:val="24"/>
                <w:szCs w:val="24"/>
              </w:rPr>
              <w:t xml:space="preserve">, </w:t>
            </w:r>
            <w:proofErr w:type="spellStart"/>
            <w:r w:rsidRPr="00424710">
              <w:rPr>
                <w:sz w:val="24"/>
                <w:szCs w:val="24"/>
              </w:rPr>
              <w:t>semiconductors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insulators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band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theory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reflectivity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metals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copper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gold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semiconductors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impurity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colours</w:t>
            </w:r>
            <w:proofErr w:type="spellEnd"/>
            <w:r w:rsidRPr="00424710">
              <w:rPr>
                <w:sz w:val="24"/>
                <w:szCs w:val="24"/>
              </w:rPr>
              <w:t xml:space="preserve"> in </w:t>
            </w:r>
            <w:proofErr w:type="spellStart"/>
            <w:r w:rsidRPr="00424710">
              <w:rPr>
                <w:sz w:val="24"/>
                <w:szCs w:val="24"/>
              </w:rPr>
              <w:t>insulators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semiconductors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electron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hole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centres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Fibre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optics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data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transmission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historical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background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to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optical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communications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chemical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impurities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optical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amplification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second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harmonic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generation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r w:rsidRPr="00424710">
              <w:rPr>
                <w:sz w:val="24"/>
                <w:szCs w:val="24"/>
              </w:rPr>
              <w:t xml:space="preserve">Displays (CRT displays; </w:t>
            </w:r>
            <w:proofErr w:type="spellStart"/>
            <w:r w:rsidRPr="00424710">
              <w:rPr>
                <w:sz w:val="24"/>
                <w:szCs w:val="24"/>
              </w:rPr>
              <w:t>semiconductor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light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emitting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diodes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organic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electroluminescent</w:t>
            </w:r>
            <w:proofErr w:type="spellEnd"/>
            <w:r w:rsidRPr="00424710">
              <w:rPr>
                <w:sz w:val="24"/>
                <w:szCs w:val="24"/>
              </w:rPr>
              <w:t xml:space="preserve"> displays; </w:t>
            </w:r>
            <w:proofErr w:type="spellStart"/>
            <w:r w:rsidRPr="00424710">
              <w:rPr>
                <w:sz w:val="24"/>
                <w:szCs w:val="24"/>
              </w:rPr>
              <w:t>liquid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crystal</w:t>
            </w:r>
            <w:proofErr w:type="spellEnd"/>
            <w:r w:rsidRPr="00424710">
              <w:rPr>
                <w:sz w:val="24"/>
                <w:szCs w:val="24"/>
              </w:rPr>
              <w:t xml:space="preserve"> displays)</w:t>
            </w:r>
          </w:p>
          <w:p w:rsidR="004C6CEB" w:rsidRPr="00424710" w:rsidRDefault="004C6CEB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424710">
              <w:rPr>
                <w:sz w:val="24"/>
                <w:szCs w:val="24"/>
              </w:rPr>
              <w:t>Lasers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holograms</w:t>
            </w:r>
            <w:proofErr w:type="spellEnd"/>
            <w:r w:rsidRPr="00424710">
              <w:rPr>
                <w:sz w:val="24"/>
                <w:szCs w:val="24"/>
              </w:rPr>
              <w:t xml:space="preserve"> (</w:t>
            </w:r>
            <w:proofErr w:type="spellStart"/>
            <w:r w:rsidRPr="00424710">
              <w:rPr>
                <w:sz w:val="24"/>
                <w:szCs w:val="24"/>
              </w:rPr>
              <w:t>emission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absorption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radiation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energy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level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populations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ruby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laser</w:t>
            </w:r>
            <w:proofErr w:type="spellEnd"/>
            <w:r w:rsidRPr="00424710">
              <w:rPr>
                <w:sz w:val="24"/>
                <w:szCs w:val="24"/>
              </w:rPr>
              <w:t xml:space="preserve">: a </w:t>
            </w:r>
            <w:proofErr w:type="spellStart"/>
            <w:r w:rsidRPr="00424710">
              <w:rPr>
                <w:sz w:val="24"/>
                <w:szCs w:val="24"/>
              </w:rPr>
              <w:t>three-level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laser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neodymium</w:t>
            </w:r>
            <w:proofErr w:type="spellEnd"/>
            <w:r w:rsidRPr="00424710">
              <w:rPr>
                <w:sz w:val="24"/>
                <w:szCs w:val="24"/>
              </w:rPr>
              <w:t xml:space="preserve"> (Nd</w:t>
            </w:r>
            <w:r w:rsidRPr="00424710">
              <w:rPr>
                <w:sz w:val="24"/>
                <w:szCs w:val="24"/>
                <w:vertAlign w:val="superscript"/>
              </w:rPr>
              <w:t>3+</w:t>
            </w:r>
            <w:r w:rsidRPr="00424710">
              <w:rPr>
                <w:sz w:val="24"/>
                <w:szCs w:val="24"/>
              </w:rPr>
              <w:t xml:space="preserve">) </w:t>
            </w:r>
            <w:proofErr w:type="spellStart"/>
            <w:r w:rsidRPr="00424710">
              <w:rPr>
                <w:sz w:val="24"/>
                <w:szCs w:val="24"/>
              </w:rPr>
              <w:t>solid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state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laser</w:t>
            </w:r>
            <w:proofErr w:type="spellEnd"/>
            <w:r w:rsidRPr="00424710">
              <w:rPr>
                <w:sz w:val="24"/>
                <w:szCs w:val="24"/>
              </w:rPr>
              <w:t xml:space="preserve">: a </w:t>
            </w:r>
            <w:proofErr w:type="spellStart"/>
            <w:r w:rsidRPr="00424710">
              <w:rPr>
                <w:sz w:val="24"/>
                <w:szCs w:val="24"/>
              </w:rPr>
              <w:t>four-level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laser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semiconductor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diode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lasers</w:t>
            </w:r>
            <w:proofErr w:type="spellEnd"/>
            <w:r w:rsidRPr="00424710">
              <w:rPr>
                <w:sz w:val="24"/>
                <w:szCs w:val="24"/>
              </w:rPr>
              <w:t xml:space="preserve">; </w:t>
            </w:r>
            <w:proofErr w:type="spellStart"/>
            <w:r w:rsidRPr="00424710">
              <w:rPr>
                <w:sz w:val="24"/>
                <w:szCs w:val="24"/>
              </w:rPr>
              <w:t>dye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lasers</w:t>
            </w:r>
            <w:proofErr w:type="spellEnd"/>
            <w:r w:rsidRPr="00424710">
              <w:rPr>
                <w:sz w:val="24"/>
                <w:szCs w:val="24"/>
              </w:rPr>
              <w:t>)</w:t>
            </w:r>
          </w:p>
          <w:p w:rsidR="00424710" w:rsidRPr="005D3F8A" w:rsidRDefault="00424710" w:rsidP="00534DB3">
            <w:p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 w:rsidRPr="00424710">
              <w:rPr>
                <w:sz w:val="24"/>
                <w:szCs w:val="24"/>
              </w:rPr>
              <w:t>Survey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colorants</w:t>
            </w:r>
            <w:proofErr w:type="spellEnd"/>
            <w:r w:rsidRPr="00424710">
              <w:rPr>
                <w:sz w:val="24"/>
                <w:szCs w:val="24"/>
              </w:rPr>
              <w:t xml:space="preserve"> of </w:t>
            </w:r>
            <w:proofErr w:type="spellStart"/>
            <w:r w:rsidRPr="00424710">
              <w:rPr>
                <w:sz w:val="24"/>
                <w:szCs w:val="24"/>
              </w:rPr>
              <w:t>various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types</w:t>
            </w:r>
            <w:proofErr w:type="spellEnd"/>
          </w:p>
        </w:tc>
      </w:tr>
      <w:tr w:rsidR="00F66EE7" w:rsidRPr="005D3F8A" w:rsidTr="00424710">
        <w:trPr>
          <w:trHeight w:hRule="exact" w:val="112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Suggested textbooks:</w:t>
            </w:r>
          </w:p>
          <w:p w:rsidR="00424710" w:rsidRPr="00424710" w:rsidRDefault="00424710" w:rsidP="00424710">
            <w:pPr>
              <w:rPr>
                <w:sz w:val="24"/>
                <w:szCs w:val="24"/>
              </w:rPr>
            </w:pPr>
            <w:r w:rsidRPr="00424710">
              <w:rPr>
                <w:sz w:val="24"/>
                <w:szCs w:val="24"/>
              </w:rPr>
              <w:t xml:space="preserve">Richard </w:t>
            </w:r>
            <w:proofErr w:type="spellStart"/>
            <w:r w:rsidRPr="00424710">
              <w:rPr>
                <w:sz w:val="24"/>
                <w:szCs w:val="24"/>
              </w:rPr>
              <w:t>Tilley</w:t>
            </w:r>
            <w:proofErr w:type="spellEnd"/>
            <w:r w:rsidRPr="00424710">
              <w:rPr>
                <w:sz w:val="24"/>
                <w:szCs w:val="24"/>
              </w:rPr>
              <w:t xml:space="preserve">: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ptical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properties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materials</w:t>
            </w:r>
            <w:proofErr w:type="spellEnd"/>
            <w:r>
              <w:rPr>
                <w:sz w:val="24"/>
                <w:szCs w:val="24"/>
              </w:rPr>
              <w:t xml:space="preserve">, 2000, </w:t>
            </w:r>
            <w:proofErr w:type="spellStart"/>
            <w:r>
              <w:rPr>
                <w:sz w:val="24"/>
                <w:szCs w:val="24"/>
              </w:rPr>
              <w:t>Wiley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Chichester</w:t>
            </w:r>
            <w:proofErr w:type="spellEnd"/>
          </w:p>
          <w:p w:rsidR="00F66EE7" w:rsidRPr="005D3F8A" w:rsidRDefault="00424710" w:rsidP="0042471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</w:rPr>
              <w:t>Ben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Bova</w:t>
            </w:r>
            <w:proofErr w:type="spellEnd"/>
            <w:r>
              <w:rPr>
                <w:iCs/>
                <w:sz w:val="24"/>
                <w:szCs w:val="24"/>
              </w:rPr>
              <w:t xml:space="preserve">: The </w:t>
            </w:r>
            <w:proofErr w:type="spellStart"/>
            <w:r>
              <w:rPr>
                <w:iCs/>
                <w:sz w:val="24"/>
                <w:szCs w:val="24"/>
              </w:rPr>
              <w:t>beauty</w:t>
            </w:r>
            <w:proofErr w:type="spellEnd"/>
            <w:r>
              <w:rPr>
                <w:iCs/>
                <w:sz w:val="24"/>
                <w:szCs w:val="24"/>
              </w:rPr>
              <w:t xml:space="preserve"> of </w:t>
            </w:r>
            <w:proofErr w:type="spellStart"/>
            <w:r>
              <w:rPr>
                <w:iCs/>
                <w:sz w:val="24"/>
                <w:szCs w:val="24"/>
              </w:rPr>
              <w:t>light</w:t>
            </w:r>
            <w:proofErr w:type="spellEnd"/>
            <w:r>
              <w:rPr>
                <w:iCs/>
                <w:sz w:val="24"/>
                <w:szCs w:val="24"/>
              </w:rPr>
              <w:t xml:space="preserve">, 1988, </w:t>
            </w:r>
            <w:proofErr w:type="spellStart"/>
            <w:r>
              <w:rPr>
                <w:iCs/>
                <w:sz w:val="24"/>
                <w:szCs w:val="24"/>
              </w:rPr>
              <w:t>Wiley</w:t>
            </w:r>
            <w:proofErr w:type="spellEnd"/>
            <w:r>
              <w:rPr>
                <w:iCs/>
                <w:sz w:val="24"/>
                <w:szCs w:val="24"/>
              </w:rPr>
              <w:t>, New York City</w:t>
            </w:r>
          </w:p>
        </w:tc>
      </w:tr>
      <w:tr w:rsidR="00F66EE7" w:rsidRPr="005D3F8A" w:rsidTr="00424710">
        <w:trPr>
          <w:trHeight w:hRule="exact" w:val="97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06121D"/>
    <w:rsid w:val="001458E0"/>
    <w:rsid w:val="00170498"/>
    <w:rsid w:val="00264C94"/>
    <w:rsid w:val="003F4629"/>
    <w:rsid w:val="00424710"/>
    <w:rsid w:val="004C6CEB"/>
    <w:rsid w:val="005268A8"/>
    <w:rsid w:val="00534DB3"/>
    <w:rsid w:val="00586567"/>
    <w:rsid w:val="005C2243"/>
    <w:rsid w:val="005D3F8A"/>
    <w:rsid w:val="0069728C"/>
    <w:rsid w:val="007141E5"/>
    <w:rsid w:val="0073628B"/>
    <w:rsid w:val="007D6DC3"/>
    <w:rsid w:val="008A0FED"/>
    <w:rsid w:val="008C3A1E"/>
    <w:rsid w:val="00974D99"/>
    <w:rsid w:val="009A3987"/>
    <w:rsid w:val="009A7F60"/>
    <w:rsid w:val="009D1868"/>
    <w:rsid w:val="00A05070"/>
    <w:rsid w:val="00A5790D"/>
    <w:rsid w:val="00A8705E"/>
    <w:rsid w:val="00C05307"/>
    <w:rsid w:val="00CE6C44"/>
    <w:rsid w:val="00D775CF"/>
    <w:rsid w:val="00D872CE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AC700D-DA81-4A06-907E-C59A513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4D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2020-04-17T04:56:00Z</dcterms:created>
  <dcterms:modified xsi:type="dcterms:W3CDTF">2020-04-17T04:56:00Z</dcterms:modified>
</cp:coreProperties>
</file>