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2"/>
        <w:gridCol w:w="3344"/>
        <w:gridCol w:w="3345"/>
      </w:tblGrid>
      <w:tr w:rsidR="00182692">
        <w:trPr>
          <w:trHeight w:hRule="exact" w:val="1149"/>
        </w:trPr>
        <w:tc>
          <w:tcPr>
            <w:tcW w:w="6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Course:</w:t>
            </w:r>
          </w:p>
          <w:p w:rsidR="00182692" w:rsidRDefault="00923DAA">
            <w:pPr>
              <w:widowControl w:val="0"/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Environmental DNA</w:t>
            </w:r>
          </w:p>
          <w:p w:rsidR="00182692" w:rsidRDefault="00182692">
            <w:pPr>
              <w:widowControl w:val="0"/>
              <w:spacing w:after="120"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182692">
        <w:trPr>
          <w:trHeight w:hRule="exact" w:val="714"/>
        </w:trPr>
        <w:tc>
          <w:tcPr>
            <w:tcW w:w="6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Lecturer: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Kálmán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Tapolczai</w:t>
            </w:r>
            <w:proofErr w:type="spellEnd"/>
          </w:p>
          <w:p w:rsidR="00182692" w:rsidRDefault="00923DAA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Co-lecturer: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Judit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Fekete</w:t>
            </w:r>
            <w:proofErr w:type="spellEnd"/>
          </w:p>
          <w:p w:rsidR="00182692" w:rsidRDefault="00182692">
            <w:pPr>
              <w:pStyle w:val="Cmsor5"/>
              <w:widowControl w:val="0"/>
              <w:rPr>
                <w:b w:val="0"/>
                <w:lang w:val="en-US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Academic title: </w:t>
            </w:r>
            <w:r>
              <w:rPr>
                <w:b/>
                <w:bCs/>
                <w:sz w:val="26"/>
                <w:szCs w:val="26"/>
                <w:lang w:val="en-US"/>
              </w:rPr>
              <w:t>Postdoc researcher</w:t>
            </w:r>
          </w:p>
          <w:p w:rsidR="00182692" w:rsidRDefault="00182692">
            <w:pPr>
              <w:widowControl w:val="0"/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182692">
        <w:trPr>
          <w:trHeight w:hRule="exact" w:val="706"/>
        </w:trPr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hours: 4</w:t>
            </w:r>
          </w:p>
          <w:p w:rsidR="00182692" w:rsidRDefault="00182692">
            <w:pPr>
              <w:widowControl w:val="0"/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Exam: oral or </w:t>
            </w:r>
            <w:r>
              <w:rPr>
                <w:b/>
                <w:bCs/>
                <w:sz w:val="26"/>
                <w:szCs w:val="26"/>
                <w:lang w:val="en-US"/>
              </w:rPr>
              <w:t>essay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in a specified topic</w:t>
            </w:r>
          </w:p>
          <w:p w:rsidR="00182692" w:rsidRDefault="00182692">
            <w:pPr>
              <w:widowControl w:val="0"/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Credit: 6</w:t>
            </w:r>
            <w:bookmarkStart w:id="0" w:name="_GoBack"/>
            <w:bookmarkEnd w:id="0"/>
          </w:p>
          <w:p w:rsidR="00182692" w:rsidRDefault="00182692">
            <w:pPr>
              <w:widowControl w:val="0"/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82692">
        <w:trPr>
          <w:trHeight w:hRule="exact" w:val="3221"/>
        </w:trPr>
        <w:tc>
          <w:tcPr>
            <w:tcW w:w="10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Aims:</w:t>
            </w:r>
          </w:p>
          <w:p w:rsidR="00182692" w:rsidRDefault="00923DAA">
            <w:pPr>
              <w:widowControl w:val="0"/>
              <w:spacing w:line="240" w:lineRule="atLeas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subject provides insight into </w:t>
            </w:r>
            <w:r>
              <w:rPr>
                <w:bCs/>
                <w:sz w:val="24"/>
                <w:szCs w:val="24"/>
                <w:lang w:val="en-US"/>
              </w:rPr>
              <w:t>a specific field within</w:t>
            </w:r>
            <w:r>
              <w:rPr>
                <w:bCs/>
                <w:sz w:val="24"/>
                <w:szCs w:val="24"/>
                <w:lang w:val="en-US"/>
              </w:rPr>
              <w:t xml:space="preserve"> the biology and ecology that has gained great importance in recent years. Environmental DNA-based studies examine ecological questions, biological invasions, etc. with the tools of molecular biology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analysing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the genetic information extracted from environmental samples, but it can also create revolutionary changes in the field of biomonitoring.</w:t>
            </w:r>
          </w:p>
          <w:p w:rsidR="00182692" w:rsidRDefault="00923DAA">
            <w:pPr>
              <w:widowControl w:val="0"/>
              <w:spacing w:line="240" w:lineRule="atLeas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subject assumes that students have basic biological knowledge, but supposes </w:t>
            </w:r>
            <w:r>
              <w:rPr>
                <w:bCs/>
                <w:sz w:val="24"/>
                <w:szCs w:val="24"/>
                <w:lang w:val="en-US"/>
              </w:rPr>
              <w:t>high</w:t>
            </w:r>
            <w:r>
              <w:rPr>
                <w:bCs/>
                <w:sz w:val="24"/>
                <w:szCs w:val="24"/>
                <w:lang w:val="en-US"/>
              </w:rPr>
              <w:t xml:space="preserve"> heterogeneity in educa</w:t>
            </w:r>
            <w:r>
              <w:rPr>
                <w:bCs/>
                <w:sz w:val="24"/>
                <w:szCs w:val="24"/>
                <w:lang w:val="en-US"/>
              </w:rPr>
              <w:t>tion background.</w:t>
            </w:r>
          </w:p>
          <w:p w:rsidR="00182692" w:rsidRDefault="00923DAA">
            <w:pPr>
              <w:widowControl w:val="0"/>
              <w:spacing w:line="240" w:lineRule="atLeas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aim of the course is to </w:t>
            </w:r>
            <w:r>
              <w:rPr>
                <w:bCs/>
                <w:sz w:val="24"/>
                <w:szCs w:val="24"/>
                <w:lang w:val="en-US"/>
              </w:rPr>
              <w:t>present</w:t>
            </w:r>
            <w:r>
              <w:rPr>
                <w:bCs/>
                <w:sz w:val="24"/>
                <w:szCs w:val="24"/>
                <w:lang w:val="en-US"/>
              </w:rPr>
              <w:t xml:space="preserve"> the </w:t>
            </w:r>
            <w:r>
              <w:rPr>
                <w:bCs/>
                <w:sz w:val="24"/>
                <w:szCs w:val="24"/>
                <w:lang w:val="en-US"/>
              </w:rPr>
              <w:t>theoretical</w:t>
            </w:r>
            <w:r>
              <w:rPr>
                <w:bCs/>
                <w:sz w:val="24"/>
                <w:szCs w:val="24"/>
                <w:lang w:val="en-US"/>
              </w:rPr>
              <w:t xml:space="preserve"> background and the application of environmental DNA and the related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metabarcoding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methods, so </w:t>
            </w:r>
            <w:r>
              <w:rPr>
                <w:bCs/>
                <w:sz w:val="24"/>
                <w:szCs w:val="24"/>
                <w:lang w:val="en-US"/>
              </w:rPr>
              <w:t>students</w:t>
            </w:r>
            <w:r>
              <w:rPr>
                <w:bCs/>
                <w:sz w:val="24"/>
                <w:szCs w:val="24"/>
                <w:lang w:val="en-US"/>
              </w:rPr>
              <w:t xml:space="preserve"> can acquire relevant knowledge that they can use in their later studies or work. </w:t>
            </w:r>
          </w:p>
          <w:p w:rsidR="00182692" w:rsidRDefault="00182692">
            <w:pPr>
              <w:widowControl w:val="0"/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182692">
        <w:trPr>
          <w:trHeight w:hRule="exact" w:val="4651"/>
        </w:trPr>
        <w:tc>
          <w:tcPr>
            <w:tcW w:w="10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Thematics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Introduction to the concept of environmental DNA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Selection of DNA marker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Reference databases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Sampling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DNA </w:t>
            </w:r>
            <w:r>
              <w:rPr>
                <w:sz w:val="24"/>
                <w:szCs w:val="24"/>
                <w:lang w:val="en-US"/>
              </w:rPr>
              <w:t>extraction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DNA amplification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DNA sequencing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 analysis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Examination of specific groups of organisms I.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Examination of specific groups of </w:t>
            </w:r>
            <w:r>
              <w:rPr>
                <w:sz w:val="24"/>
                <w:szCs w:val="24"/>
                <w:lang w:val="en-US"/>
              </w:rPr>
              <w:t>organisms II.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Examination of specific groups of organisms III.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studies.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 </w:t>
            </w:r>
            <w:r>
              <w:rPr>
                <w:sz w:val="24"/>
                <w:szCs w:val="24"/>
                <w:lang w:val="en-US"/>
              </w:rPr>
              <w:t>presentations</w:t>
            </w:r>
            <w:r>
              <w:rPr>
                <w:sz w:val="24"/>
                <w:szCs w:val="24"/>
                <w:lang w:val="en-US"/>
              </w:rPr>
              <w:t xml:space="preserve"> I.</w:t>
            </w:r>
          </w:p>
          <w:p w:rsidR="00182692" w:rsidRDefault="00923DAA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 </w:t>
            </w:r>
            <w:r>
              <w:rPr>
                <w:sz w:val="24"/>
                <w:szCs w:val="24"/>
                <w:lang w:val="en-US"/>
              </w:rPr>
              <w:t>presentations</w:t>
            </w:r>
            <w:r>
              <w:rPr>
                <w:sz w:val="24"/>
                <w:szCs w:val="24"/>
                <w:lang w:val="en-US"/>
              </w:rPr>
              <w:t xml:space="preserve"> II. </w:t>
            </w:r>
          </w:p>
        </w:tc>
      </w:tr>
      <w:tr w:rsidR="00182692">
        <w:trPr>
          <w:trHeight w:hRule="exact" w:val="2110"/>
        </w:trPr>
        <w:tc>
          <w:tcPr>
            <w:tcW w:w="10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182692" w:rsidRDefault="00182692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</w:p>
          <w:p w:rsidR="00182692" w:rsidRDefault="00923DAA">
            <w:pPr>
              <w:widowControl w:val="0"/>
              <w:spacing w:after="240"/>
              <w:rPr>
                <w:rFonts w:cs="Times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cs="Times"/>
                <w:sz w:val="24"/>
                <w:szCs w:val="24"/>
                <w:lang w:val="en-US" w:eastAsia="en-US"/>
              </w:rPr>
              <w:t>Taberlet</w:t>
            </w:r>
            <w:proofErr w:type="spellEnd"/>
            <w:r>
              <w:rPr>
                <w:rFonts w:cs="Times"/>
                <w:sz w:val="24"/>
                <w:szCs w:val="24"/>
                <w:lang w:val="en-US" w:eastAsia="en-US"/>
              </w:rPr>
              <w:t xml:space="preserve">, Pierre, </w:t>
            </w:r>
            <w:proofErr w:type="spellStart"/>
            <w:r>
              <w:rPr>
                <w:rFonts w:cs="Times"/>
                <w:sz w:val="24"/>
                <w:szCs w:val="24"/>
                <w:lang w:val="en-US" w:eastAsia="en-US"/>
              </w:rPr>
              <w:t>Aurélie</w:t>
            </w:r>
            <w:proofErr w:type="spellEnd"/>
            <w:r>
              <w:rPr>
                <w:rFonts w:cs="Times"/>
                <w:sz w:val="24"/>
                <w:szCs w:val="24"/>
                <w:lang w:val="en-US" w:eastAsia="en-US"/>
              </w:rPr>
              <w:t xml:space="preserve"> Bonin, Lucie Zinger, and Eric </w:t>
            </w:r>
            <w:proofErr w:type="spellStart"/>
            <w:r>
              <w:rPr>
                <w:rFonts w:cs="Times"/>
                <w:sz w:val="24"/>
                <w:szCs w:val="24"/>
                <w:lang w:val="en-US" w:eastAsia="en-US"/>
              </w:rPr>
              <w:t>Coissac</w:t>
            </w:r>
            <w:proofErr w:type="spellEnd"/>
            <w:r>
              <w:rPr>
                <w:rFonts w:cs="Times"/>
                <w:sz w:val="24"/>
                <w:szCs w:val="24"/>
                <w:lang w:val="en-US" w:eastAsia="en-US"/>
              </w:rPr>
              <w:t xml:space="preserve">. Environmental DNA: For biodiversity </w:t>
            </w:r>
            <w:r>
              <w:rPr>
                <w:rFonts w:cs="Times"/>
                <w:sz w:val="24"/>
                <w:szCs w:val="24"/>
                <w:lang w:val="en-US" w:eastAsia="en-US"/>
              </w:rPr>
              <w:t>research and monitoring. Oxford University Press, 2018.</w:t>
            </w:r>
          </w:p>
        </w:tc>
      </w:tr>
      <w:tr w:rsidR="00182692">
        <w:trPr>
          <w:trHeight w:hRule="exact" w:val="1574"/>
        </w:trPr>
        <w:tc>
          <w:tcPr>
            <w:tcW w:w="10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692" w:rsidRDefault="00923DAA">
            <w:pPr>
              <w:widowControl w:val="0"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182692" w:rsidRDefault="00923DAA">
            <w:pPr>
              <w:widowControl w:val="0"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Presentations on specific topics</w:t>
            </w:r>
          </w:p>
          <w:p w:rsidR="00182692" w:rsidRDefault="00923DAA">
            <w:pPr>
              <w:widowControl w:val="0"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Compiling an essay on specific topics</w:t>
            </w:r>
          </w:p>
        </w:tc>
      </w:tr>
    </w:tbl>
    <w:p w:rsidR="00182692" w:rsidRDefault="00182692">
      <w:pPr>
        <w:rPr>
          <w:lang w:val="en-US"/>
        </w:rPr>
      </w:pPr>
    </w:p>
    <w:sectPr w:rsidR="00182692">
      <w:pgSz w:w="11906" w:h="16838"/>
      <w:pgMar w:top="1134" w:right="1134" w:bottom="851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F718C"/>
    <w:multiLevelType w:val="multilevel"/>
    <w:tmpl w:val="C4F440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D12848"/>
    <w:multiLevelType w:val="multilevel"/>
    <w:tmpl w:val="21064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2"/>
  </w:compat>
  <w:rsids>
    <w:rsidRoot w:val="00182692"/>
    <w:rsid w:val="00182692"/>
    <w:rsid w:val="0092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1737"/>
  <w15:docId w15:val="{F3A73075-28D2-484A-8F10-0951D6EE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136"/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C1136"/>
    <w:pPr>
      <w:keepNext/>
      <w:spacing w:before="240" w:after="60"/>
      <w:outlineLvl w:val="0"/>
    </w:pPr>
    <w:rPr>
      <w:rFonts w:ascii="Arial" w:hAnsi="Arial" w:cs="Arial"/>
      <w:b/>
      <w:bCs/>
      <w:kern w:val="2"/>
    </w:rPr>
  </w:style>
  <w:style w:type="paragraph" w:styleId="Cmsor2">
    <w:name w:val="heading 2"/>
    <w:basedOn w:val="Norml"/>
    <w:next w:val="Norml"/>
    <w:link w:val="Cmsor2Char"/>
    <w:uiPriority w:val="99"/>
    <w:qFormat/>
    <w:rsid w:val="003C11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3C1136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3C1136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3C1136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3C1136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3C1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3C1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3C1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3C11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fejChar">
    <w:name w:val="Élőfej Char"/>
    <w:basedOn w:val="Bekezdsalapbettpusa"/>
    <w:uiPriority w:val="99"/>
    <w:semiHidden/>
    <w:qFormat/>
    <w:rsid w:val="003C1136"/>
    <w:rPr>
      <w:sz w:val="28"/>
      <w:szCs w:val="28"/>
    </w:rPr>
  </w:style>
  <w:style w:type="character" w:customStyle="1" w:styleId="llbChar">
    <w:name w:val="Élőláb Char"/>
    <w:basedOn w:val="Bekezdsalapbettpusa"/>
    <w:uiPriority w:val="99"/>
    <w:semiHidden/>
    <w:qFormat/>
    <w:rsid w:val="003C1136"/>
    <w:rPr>
      <w:sz w:val="28"/>
      <w:szCs w:val="2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3C113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uiPriority w:val="99"/>
    <w:rsid w:val="003C1136"/>
    <w:pPr>
      <w:tabs>
        <w:tab w:val="center" w:pos="4703"/>
        <w:tab w:val="right" w:pos="9406"/>
      </w:tabs>
    </w:pPr>
  </w:style>
  <w:style w:type="paragraph" w:styleId="llb">
    <w:name w:val="footer"/>
    <w:basedOn w:val="Norml"/>
    <w:uiPriority w:val="99"/>
    <w:rsid w:val="003C113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link w:val="BuborkszvegChar"/>
    <w:uiPriority w:val="99"/>
    <w:semiHidden/>
    <w:qFormat/>
    <w:rsid w:val="00F66E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5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1465</Characters>
  <Application>Microsoft Office Word</Application>
  <DocSecurity>0</DocSecurity>
  <Lines>12</Lines>
  <Paragraphs>3</Paragraphs>
  <ScaleCrop>false</ScaleCrop>
  <Company>VE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dc:description/>
  <cp:lastModifiedBy>Rostási Ágnes</cp:lastModifiedBy>
  <cp:revision>4</cp:revision>
  <cp:lastPrinted>2006-03-10T09:31:00Z</cp:lastPrinted>
  <dcterms:created xsi:type="dcterms:W3CDTF">2020-04-17T09:14:00Z</dcterms:created>
  <dcterms:modified xsi:type="dcterms:W3CDTF">2021-10-28T21:03:00Z</dcterms:modified>
  <dc:language>en-GB</dc:language>
</cp:coreProperties>
</file>